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171A9" w14:textId="77777777" w:rsidR="00CB18BD" w:rsidRDefault="001A6CD1" w:rsidP="00CB18BD">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MbOCA</w:t>
      </w:r>
    </w:p>
    <w:p w14:paraId="227C85DC" w14:textId="77777777" w:rsidR="00CB18BD" w:rsidRDefault="00CB18BD" w:rsidP="00CB18BD">
      <w:pPr>
        <w:pStyle w:val="Footer"/>
        <w:rPr>
          <w:rFonts w:asciiTheme="majorHAnsi" w:hAnsiTheme="majorHAnsi" w:cstheme="majorHAnsi"/>
          <w:b/>
          <w:bCs/>
          <w:color w:val="990033"/>
          <w:sz w:val="32"/>
          <w:szCs w:val="32"/>
          <w:u w:val="single"/>
        </w:rPr>
      </w:pPr>
    </w:p>
    <w:p w14:paraId="314058A6" w14:textId="1E27FB0D" w:rsidR="001A6CD1" w:rsidRPr="00CB18BD" w:rsidRDefault="001A6CD1" w:rsidP="00CB18BD">
      <w:pPr>
        <w:pStyle w:val="Footer"/>
        <w:rPr>
          <w:rFonts w:asciiTheme="majorHAnsi" w:hAnsiTheme="majorHAnsi" w:cstheme="majorHAnsi"/>
          <w:b/>
          <w:bCs/>
          <w:i/>
          <w:iCs/>
          <w:sz w:val="22"/>
          <w:szCs w:val="22"/>
        </w:rPr>
      </w:pPr>
      <w:r w:rsidRPr="00CB18BD">
        <w:rPr>
          <w:rFonts w:asciiTheme="majorHAnsi" w:hAnsiTheme="majorHAnsi" w:cstheme="majorHAnsi"/>
          <w:b/>
          <w:bCs/>
          <w:i/>
          <w:iCs/>
          <w:sz w:val="22"/>
          <w:szCs w:val="22"/>
        </w:rPr>
        <w:t>Who is this guidance for?</w:t>
      </w:r>
    </w:p>
    <w:p w14:paraId="7ED6F48D" w14:textId="77777777" w:rsidR="00CB18BD" w:rsidRPr="00CB18BD" w:rsidRDefault="00CB18BD" w:rsidP="00CB18BD">
      <w:pPr>
        <w:pStyle w:val="Footer"/>
        <w:rPr>
          <w:rFonts w:asciiTheme="majorHAnsi" w:hAnsiTheme="majorHAnsi" w:cstheme="majorHAnsi"/>
          <w:b/>
          <w:bCs/>
          <w:color w:val="990033"/>
          <w:sz w:val="32"/>
          <w:szCs w:val="32"/>
          <w:u w:val="single"/>
        </w:rPr>
      </w:pPr>
    </w:p>
    <w:p w14:paraId="0C95A376" w14:textId="23E8F1D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2FB6EB84" w14:textId="6A4B00D6" w:rsidR="00CB18BD" w:rsidRPr="00CB18BD" w:rsidRDefault="00CB18BD" w:rsidP="001A6CD1">
      <w:pPr>
        <w:rPr>
          <w:rFonts w:asciiTheme="majorHAnsi" w:hAnsiTheme="majorHAnsi" w:cstheme="majorHAnsi"/>
          <w:sz w:val="22"/>
          <w:szCs w:val="22"/>
        </w:rPr>
      </w:pPr>
      <w:r w:rsidRPr="00CB18BD">
        <w:rPr>
          <w:rFonts w:asciiTheme="majorHAnsi" w:hAnsiTheme="majorHAnsi" w:cstheme="majorHAnsi"/>
          <w:noProof/>
          <w:sz w:val="22"/>
          <w:szCs w:val="22"/>
        </w:rPr>
        <mc:AlternateContent>
          <mc:Choice Requires="wps">
            <w:drawing>
              <wp:anchor distT="45720" distB="45720" distL="114300" distR="114300" simplePos="0" relativeHeight="251659264" behindDoc="0" locked="0" layoutInCell="1" allowOverlap="1" wp14:anchorId="6681614D" wp14:editId="749B2BD7">
                <wp:simplePos x="0" y="0"/>
                <wp:positionH relativeFrom="page">
                  <wp:posOffset>676275</wp:posOffset>
                </wp:positionH>
                <wp:positionV relativeFrom="paragraph">
                  <wp:posOffset>182880</wp:posOffset>
                </wp:positionV>
                <wp:extent cx="3028950" cy="8191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19150"/>
                        </a:xfrm>
                        <a:prstGeom prst="rect">
                          <a:avLst/>
                        </a:prstGeom>
                        <a:solidFill>
                          <a:srgbClr val="FFFFFF"/>
                        </a:solidFill>
                        <a:ln w="9525">
                          <a:solidFill>
                            <a:srgbClr val="000000"/>
                          </a:solidFill>
                          <a:miter lim="800000"/>
                          <a:headEnd/>
                          <a:tailEnd/>
                        </a:ln>
                      </wps:spPr>
                      <wps:txbx>
                        <w:txbxContent>
                          <w:p w14:paraId="173B7EF9" w14:textId="77777777" w:rsidR="001A6CD1" w:rsidRPr="00CB18BD"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 xml:space="preserve">MbOCA  (2,2-Dichloro-4,4 methylene </w:t>
                            </w:r>
                            <w:proofErr w:type="spellStart"/>
                            <w:r w:rsidRPr="00CB18BD">
                              <w:rPr>
                                <w:rFonts w:asciiTheme="majorHAnsi" w:hAnsiTheme="majorHAnsi" w:cstheme="majorHAnsi"/>
                                <w:b/>
                                <w:bCs/>
                                <w:sz w:val="22"/>
                                <w:szCs w:val="22"/>
                              </w:rPr>
                              <w:t>dianiline</w:t>
                            </w:r>
                            <w:proofErr w:type="spellEnd"/>
                            <w:r w:rsidRPr="00CB18BD">
                              <w:rPr>
                                <w:rFonts w:asciiTheme="majorHAnsi" w:hAnsiTheme="majorHAnsi" w:cstheme="majorHAnsi"/>
                                <w:b/>
                                <w:bCs/>
                                <w:sz w:val="22"/>
                                <w:szCs w:val="22"/>
                              </w:rPr>
                              <w:t>)</w:t>
                            </w:r>
                          </w:p>
                          <w:p w14:paraId="6082DD1D" w14:textId="1563D355" w:rsidR="001A6CD1"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Monitored by analysis of MbOCA analyte in urine</w:t>
                            </w:r>
                          </w:p>
                          <w:p w14:paraId="31AF187B" w14:textId="77777777" w:rsidR="00CB18BD" w:rsidRPr="00CB18BD" w:rsidRDefault="00CB18BD" w:rsidP="001A6CD1">
                            <w:pPr>
                              <w:rPr>
                                <w:rFonts w:asciiTheme="majorHAnsi" w:hAnsiTheme="majorHAnsi" w:cstheme="majorHAnsi"/>
                                <w:sz w:val="22"/>
                                <w:szCs w:val="22"/>
                              </w:rPr>
                            </w:pPr>
                          </w:p>
                          <w:p w14:paraId="17698664"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b/>
                                <w:bCs/>
                                <w:sz w:val="22"/>
                                <w:szCs w:val="22"/>
                              </w:rPr>
                              <w:t>BMGV</w:t>
                            </w:r>
                            <w:r w:rsidRPr="00CB18BD">
                              <w:rPr>
                                <w:rFonts w:asciiTheme="majorHAnsi" w:hAnsiTheme="majorHAnsi" w:cstheme="majorHAnsi"/>
                                <w:sz w:val="22"/>
                                <w:szCs w:val="22"/>
                              </w:rPr>
                              <w:t>: 15µmol MbOCA/mol creatinine</w:t>
                            </w:r>
                          </w:p>
                          <w:p w14:paraId="46557089" w14:textId="77777777" w:rsidR="001A6CD1" w:rsidRDefault="001A6CD1" w:rsidP="001A6CD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1614D" id="_x0000_t202" coordsize="21600,21600" o:spt="202" path="m,l,21600r21600,l21600,xe">
                <v:stroke joinstyle="miter"/>
                <v:path gradientshapeok="t" o:connecttype="rect"/>
              </v:shapetype>
              <v:shape id="Text Box 217" o:spid="_x0000_s1026" type="#_x0000_t202" style="position:absolute;margin-left:53.25pt;margin-top:14.4pt;width:238.5pt;height:6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">
                <v:textbox>
                  <w:txbxContent>
                    <w:p w14:paraId="173B7EF9" w14:textId="77777777" w:rsidR="001A6CD1" w:rsidRPr="00CB18BD"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 xml:space="preserve">MbOCA  (2,2-Dichloro-4,4 methylene </w:t>
                      </w:r>
                      <w:proofErr w:type="spellStart"/>
                      <w:r w:rsidRPr="00CB18BD">
                        <w:rPr>
                          <w:rFonts w:asciiTheme="majorHAnsi" w:hAnsiTheme="majorHAnsi" w:cstheme="majorHAnsi"/>
                          <w:b/>
                          <w:bCs/>
                          <w:sz w:val="22"/>
                          <w:szCs w:val="22"/>
                        </w:rPr>
                        <w:t>dianiline</w:t>
                      </w:r>
                      <w:proofErr w:type="spellEnd"/>
                      <w:r w:rsidRPr="00CB18BD">
                        <w:rPr>
                          <w:rFonts w:asciiTheme="majorHAnsi" w:hAnsiTheme="majorHAnsi" w:cstheme="majorHAnsi"/>
                          <w:b/>
                          <w:bCs/>
                          <w:sz w:val="22"/>
                          <w:szCs w:val="22"/>
                        </w:rPr>
                        <w:t>)</w:t>
                      </w:r>
                    </w:p>
                    <w:p w14:paraId="6082DD1D" w14:textId="1563D355" w:rsidR="001A6CD1"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Monitored by analysis of MbOCA analyte in urine</w:t>
                      </w:r>
                    </w:p>
                    <w:p w14:paraId="31AF187B" w14:textId="77777777" w:rsidR="00CB18BD" w:rsidRPr="00CB18BD" w:rsidRDefault="00CB18BD" w:rsidP="001A6CD1">
                      <w:pPr>
                        <w:rPr>
                          <w:rFonts w:asciiTheme="majorHAnsi" w:hAnsiTheme="majorHAnsi" w:cstheme="majorHAnsi"/>
                          <w:sz w:val="22"/>
                          <w:szCs w:val="22"/>
                        </w:rPr>
                      </w:pPr>
                    </w:p>
                    <w:p w14:paraId="17698664"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b/>
                          <w:bCs/>
                          <w:sz w:val="22"/>
                          <w:szCs w:val="22"/>
                        </w:rPr>
                        <w:t>BMGV</w:t>
                      </w:r>
                      <w:r w:rsidRPr="00CB18BD">
                        <w:rPr>
                          <w:rFonts w:asciiTheme="majorHAnsi" w:hAnsiTheme="majorHAnsi" w:cstheme="majorHAnsi"/>
                          <w:sz w:val="22"/>
                          <w:szCs w:val="22"/>
                        </w:rPr>
                        <w:t>: 15µmol MbOCA/mol creatinine</w:t>
                      </w:r>
                    </w:p>
                    <w:p w14:paraId="46557089" w14:textId="77777777" w:rsidR="001A6CD1" w:rsidRDefault="001A6CD1" w:rsidP="001A6CD1"/>
                  </w:txbxContent>
                </v:textbox>
                <w10:wrap type="square" anchorx="page"/>
              </v:shape>
            </w:pict>
          </mc:Fallback>
        </mc:AlternateContent>
      </w:r>
    </w:p>
    <w:p w14:paraId="25795860" w14:textId="6427EA0E" w:rsidR="00CB18BD" w:rsidRPr="00CB18BD" w:rsidRDefault="00CB18BD" w:rsidP="001A6CD1">
      <w:pPr>
        <w:rPr>
          <w:rFonts w:asciiTheme="majorHAnsi" w:hAnsiTheme="majorHAnsi" w:cstheme="majorHAnsi"/>
          <w:sz w:val="22"/>
          <w:szCs w:val="22"/>
        </w:rPr>
      </w:pPr>
      <w:r w:rsidRPr="00CB18BD">
        <w:rPr>
          <w:rFonts w:asciiTheme="majorHAnsi" w:hAnsiTheme="majorHAnsi" w:cstheme="majorHAnsi"/>
          <w:noProof/>
          <w:sz w:val="22"/>
          <w:szCs w:val="22"/>
        </w:rPr>
        <mc:AlternateContent>
          <mc:Choice Requires="wps">
            <w:drawing>
              <wp:anchor distT="0" distB="0" distL="114300" distR="114300" simplePos="0" relativeHeight="251660288" behindDoc="0" locked="0" layoutInCell="1" allowOverlap="1" wp14:anchorId="0C7EB02D" wp14:editId="13F4DD85">
                <wp:simplePos x="0" y="0"/>
                <wp:positionH relativeFrom="margin">
                  <wp:posOffset>2902585</wp:posOffset>
                </wp:positionH>
                <wp:positionV relativeFrom="paragraph">
                  <wp:posOffset>12700</wp:posOffset>
                </wp:positionV>
                <wp:extent cx="3086100" cy="1866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086100" cy="1866900"/>
                        </a:xfrm>
                        <a:prstGeom prst="rect">
                          <a:avLst/>
                        </a:prstGeom>
                        <a:solidFill>
                          <a:schemeClr val="lt1"/>
                        </a:solidFill>
                        <a:ln w="6350">
                          <a:solidFill>
                            <a:prstClr val="black"/>
                          </a:solidFill>
                        </a:ln>
                      </wps:spPr>
                      <wps:txbx>
                        <w:txbxContent>
                          <w:p w14:paraId="4891B248" w14:textId="77777777" w:rsidR="001A6CD1" w:rsidRPr="00CB18BD"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Hazardous Substances:</w:t>
                            </w:r>
                          </w:p>
                          <w:p w14:paraId="18715351"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xml:space="preserve">2,2-Dichloro-4,4 methylene </w:t>
                            </w:r>
                            <w:proofErr w:type="spellStart"/>
                            <w:r w:rsidRPr="00CB18BD">
                              <w:rPr>
                                <w:rFonts w:asciiTheme="majorHAnsi" w:hAnsiTheme="majorHAnsi" w:cstheme="majorHAnsi"/>
                                <w:sz w:val="22"/>
                                <w:szCs w:val="22"/>
                              </w:rPr>
                              <w:t>dianiline</w:t>
                            </w:r>
                            <w:proofErr w:type="spellEnd"/>
                            <w:r w:rsidRPr="00CB18BD">
                              <w:rPr>
                                <w:rFonts w:asciiTheme="majorHAnsi" w:hAnsiTheme="majorHAnsi" w:cstheme="majorHAnsi"/>
                                <w:sz w:val="22"/>
                                <w:szCs w:val="22"/>
                              </w:rPr>
                              <w:t>: CAS number: 101-14-4</w:t>
                            </w:r>
                          </w:p>
                          <w:p w14:paraId="4E961820" w14:textId="77777777" w:rsidR="001A6CD1" w:rsidRPr="00CB18BD" w:rsidRDefault="001A6CD1" w:rsidP="001A6CD1">
                            <w:pPr>
                              <w:rPr>
                                <w:rFonts w:asciiTheme="majorHAnsi" w:hAnsiTheme="majorHAnsi" w:cstheme="majorHAnsi"/>
                                <w:sz w:val="22"/>
                                <w:szCs w:val="22"/>
                                <w:lang w:val="de-DE"/>
                              </w:rPr>
                            </w:pPr>
                            <w:r w:rsidRPr="00CB18BD">
                              <w:rPr>
                                <w:rFonts w:asciiTheme="majorHAnsi" w:hAnsiTheme="majorHAnsi" w:cstheme="majorHAnsi"/>
                                <w:b/>
                                <w:bCs/>
                                <w:sz w:val="22"/>
                                <w:szCs w:val="22"/>
                                <w:lang w:val="de-DE"/>
                              </w:rPr>
                              <w:t>Alternative name:</w:t>
                            </w:r>
                            <w:r w:rsidRPr="00CB18BD">
                              <w:rPr>
                                <w:rFonts w:asciiTheme="majorHAnsi" w:hAnsiTheme="majorHAnsi" w:cstheme="majorHAnsi"/>
                                <w:sz w:val="22"/>
                                <w:szCs w:val="22"/>
                                <w:lang w:val="de-DE"/>
                              </w:rPr>
                              <w:t xml:space="preserve"> Methylene bis(2-chloroaniline) (MbOCA)</w:t>
                            </w:r>
                          </w:p>
                          <w:p w14:paraId="6F286B53" w14:textId="77777777" w:rsidR="001A6CD1" w:rsidRPr="00CB18BD" w:rsidRDefault="001A6CD1" w:rsidP="001A6CD1">
                            <w:pPr>
                              <w:rPr>
                                <w:rFonts w:asciiTheme="majorHAnsi" w:hAnsiTheme="majorHAnsi" w:cstheme="majorHAnsi"/>
                                <w:b/>
                                <w:bCs/>
                                <w:sz w:val="22"/>
                                <w:szCs w:val="22"/>
                                <w:lang w:val="de-DE"/>
                              </w:rPr>
                            </w:pPr>
                          </w:p>
                          <w:p w14:paraId="7CAA37F9" w14:textId="77777777" w:rsidR="001A6CD1" w:rsidRPr="00CB18BD"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Workplace Exposure Limits:</w:t>
                            </w:r>
                          </w:p>
                          <w:p w14:paraId="29325028"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8-hour TWA: 0.005mg/m3 total -NCO</w:t>
                            </w:r>
                          </w:p>
                          <w:p w14:paraId="0A39DC63"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Skin notation</w:t>
                            </w:r>
                          </w:p>
                          <w:p w14:paraId="68C86AE0"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MbOCA is a suspected human carcinogen.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EB02D" id="Text Box 2" o:spid="_x0000_s1027" type="#_x0000_t202" style="position:absolute;margin-left:228.55pt;margin-top:1pt;width:243pt;height:1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" fillcolor="white [3201]" strokeweight=".5pt">
                <v:textbox>
                  <w:txbxContent>
                    <w:p w14:paraId="4891B248" w14:textId="77777777" w:rsidR="001A6CD1" w:rsidRPr="00CB18BD"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Hazardous Substances:</w:t>
                      </w:r>
                    </w:p>
                    <w:p w14:paraId="18715351"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xml:space="preserve">2,2-Dichloro-4,4 methylene </w:t>
                      </w:r>
                      <w:proofErr w:type="spellStart"/>
                      <w:r w:rsidRPr="00CB18BD">
                        <w:rPr>
                          <w:rFonts w:asciiTheme="majorHAnsi" w:hAnsiTheme="majorHAnsi" w:cstheme="majorHAnsi"/>
                          <w:sz w:val="22"/>
                          <w:szCs w:val="22"/>
                        </w:rPr>
                        <w:t>dianiline</w:t>
                      </w:r>
                      <w:proofErr w:type="spellEnd"/>
                      <w:r w:rsidRPr="00CB18BD">
                        <w:rPr>
                          <w:rFonts w:asciiTheme="majorHAnsi" w:hAnsiTheme="majorHAnsi" w:cstheme="majorHAnsi"/>
                          <w:sz w:val="22"/>
                          <w:szCs w:val="22"/>
                        </w:rPr>
                        <w:t>: CAS number: 101-14-4</w:t>
                      </w:r>
                    </w:p>
                    <w:p w14:paraId="4E961820" w14:textId="77777777" w:rsidR="001A6CD1" w:rsidRPr="00CB18BD" w:rsidRDefault="001A6CD1" w:rsidP="001A6CD1">
                      <w:pPr>
                        <w:rPr>
                          <w:rFonts w:asciiTheme="majorHAnsi" w:hAnsiTheme="majorHAnsi" w:cstheme="majorHAnsi"/>
                          <w:sz w:val="22"/>
                          <w:szCs w:val="22"/>
                          <w:lang w:val="de-DE"/>
                        </w:rPr>
                      </w:pPr>
                      <w:r w:rsidRPr="00CB18BD">
                        <w:rPr>
                          <w:rFonts w:asciiTheme="majorHAnsi" w:hAnsiTheme="majorHAnsi" w:cstheme="majorHAnsi"/>
                          <w:b/>
                          <w:bCs/>
                          <w:sz w:val="22"/>
                          <w:szCs w:val="22"/>
                          <w:lang w:val="de-DE"/>
                        </w:rPr>
                        <w:t>Alternative name:</w:t>
                      </w:r>
                      <w:r w:rsidRPr="00CB18BD">
                        <w:rPr>
                          <w:rFonts w:asciiTheme="majorHAnsi" w:hAnsiTheme="majorHAnsi" w:cstheme="majorHAnsi"/>
                          <w:sz w:val="22"/>
                          <w:szCs w:val="22"/>
                          <w:lang w:val="de-DE"/>
                        </w:rPr>
                        <w:t xml:space="preserve"> Methylene bis(2-chloroaniline) (MbOCA)</w:t>
                      </w:r>
                    </w:p>
                    <w:p w14:paraId="6F286B53" w14:textId="77777777" w:rsidR="001A6CD1" w:rsidRPr="00CB18BD" w:rsidRDefault="001A6CD1" w:rsidP="001A6CD1">
                      <w:pPr>
                        <w:rPr>
                          <w:rFonts w:asciiTheme="majorHAnsi" w:hAnsiTheme="majorHAnsi" w:cstheme="majorHAnsi"/>
                          <w:b/>
                          <w:bCs/>
                          <w:sz w:val="22"/>
                          <w:szCs w:val="22"/>
                          <w:lang w:val="de-DE"/>
                        </w:rPr>
                      </w:pPr>
                    </w:p>
                    <w:p w14:paraId="7CAA37F9" w14:textId="77777777" w:rsidR="001A6CD1" w:rsidRPr="00CB18BD"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Workplace Exposure Limits:</w:t>
                      </w:r>
                    </w:p>
                    <w:p w14:paraId="29325028"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8-hour TWA: 0.005mg/m3 total -NCO</w:t>
                      </w:r>
                    </w:p>
                    <w:p w14:paraId="0A39DC63"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Skin notation</w:t>
                      </w:r>
                    </w:p>
                    <w:p w14:paraId="68C86AE0"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MbOCA is a suspected human carcinogen.</w:t>
                      </w:r>
                    </w:p>
                  </w:txbxContent>
                </v:textbox>
                <w10:wrap anchorx="margin"/>
              </v:shape>
            </w:pict>
          </mc:Fallback>
        </mc:AlternateContent>
      </w:r>
    </w:p>
    <w:p w14:paraId="280B0F7A" w14:textId="7A52203E" w:rsidR="00CB18BD" w:rsidRPr="00CB18BD" w:rsidRDefault="00CB18BD" w:rsidP="001A6CD1">
      <w:pPr>
        <w:rPr>
          <w:rFonts w:asciiTheme="majorHAnsi" w:hAnsiTheme="majorHAnsi" w:cstheme="majorHAnsi"/>
          <w:sz w:val="22"/>
          <w:szCs w:val="22"/>
        </w:rPr>
      </w:pPr>
    </w:p>
    <w:p w14:paraId="5ABDF64A" w14:textId="682D451C" w:rsidR="00CB18BD" w:rsidRPr="00CB18BD" w:rsidRDefault="00CB18BD" w:rsidP="001A6CD1">
      <w:pPr>
        <w:rPr>
          <w:rFonts w:asciiTheme="majorHAnsi" w:hAnsiTheme="majorHAnsi" w:cstheme="majorHAnsi"/>
          <w:sz w:val="22"/>
          <w:szCs w:val="22"/>
        </w:rPr>
      </w:pPr>
    </w:p>
    <w:p w14:paraId="08C03B10" w14:textId="0AC6A1F9" w:rsidR="00CB18BD" w:rsidRPr="00CB18BD" w:rsidRDefault="00CB18BD" w:rsidP="001A6CD1">
      <w:pPr>
        <w:rPr>
          <w:rFonts w:asciiTheme="majorHAnsi" w:hAnsiTheme="majorHAnsi" w:cstheme="majorHAnsi"/>
          <w:sz w:val="22"/>
          <w:szCs w:val="22"/>
        </w:rPr>
      </w:pPr>
    </w:p>
    <w:p w14:paraId="7DAA6656" w14:textId="258F2D58" w:rsidR="00CB18BD" w:rsidRPr="00CB18BD" w:rsidRDefault="00CB18BD" w:rsidP="001A6CD1">
      <w:pPr>
        <w:rPr>
          <w:rFonts w:asciiTheme="majorHAnsi" w:hAnsiTheme="majorHAnsi" w:cstheme="majorHAnsi"/>
          <w:sz w:val="22"/>
          <w:szCs w:val="22"/>
        </w:rPr>
      </w:pPr>
    </w:p>
    <w:p w14:paraId="5A727510" w14:textId="402515AD" w:rsidR="00CB18BD" w:rsidRPr="00CB18BD" w:rsidRDefault="00CB18BD" w:rsidP="001A6CD1">
      <w:pPr>
        <w:rPr>
          <w:rFonts w:asciiTheme="majorHAnsi" w:hAnsiTheme="majorHAnsi" w:cstheme="majorHAnsi"/>
          <w:sz w:val="22"/>
          <w:szCs w:val="22"/>
        </w:rPr>
      </w:pPr>
    </w:p>
    <w:p w14:paraId="04791F20" w14:textId="3B412600" w:rsidR="00CB18BD" w:rsidRPr="00CB18BD" w:rsidRDefault="00CB18BD" w:rsidP="001A6CD1">
      <w:pPr>
        <w:rPr>
          <w:rFonts w:asciiTheme="majorHAnsi" w:hAnsiTheme="majorHAnsi" w:cstheme="majorHAnsi"/>
          <w:sz w:val="22"/>
          <w:szCs w:val="22"/>
        </w:rPr>
      </w:pPr>
    </w:p>
    <w:p w14:paraId="19816E46" w14:textId="15703EE3" w:rsidR="00CB18BD" w:rsidRPr="00CB18BD" w:rsidRDefault="00CB18BD" w:rsidP="001A6CD1">
      <w:pPr>
        <w:rPr>
          <w:rFonts w:asciiTheme="majorHAnsi" w:hAnsiTheme="majorHAnsi" w:cstheme="majorHAnsi"/>
          <w:sz w:val="22"/>
          <w:szCs w:val="22"/>
        </w:rPr>
      </w:pPr>
    </w:p>
    <w:p w14:paraId="0E293A92" w14:textId="60BDE3FD" w:rsidR="00CB18BD" w:rsidRPr="00CB18BD" w:rsidRDefault="00CB18BD" w:rsidP="001A6CD1">
      <w:pPr>
        <w:rPr>
          <w:rFonts w:asciiTheme="majorHAnsi" w:hAnsiTheme="majorHAnsi" w:cstheme="majorHAnsi"/>
          <w:sz w:val="22"/>
          <w:szCs w:val="22"/>
        </w:rPr>
      </w:pPr>
    </w:p>
    <w:p w14:paraId="705F7F04" w14:textId="2ABF14E6" w:rsidR="00CB18BD" w:rsidRPr="00CB18BD" w:rsidRDefault="00CB18BD" w:rsidP="001A6CD1">
      <w:pPr>
        <w:rPr>
          <w:rFonts w:asciiTheme="majorHAnsi" w:hAnsiTheme="majorHAnsi" w:cstheme="majorHAnsi"/>
          <w:sz w:val="22"/>
          <w:szCs w:val="22"/>
        </w:rPr>
      </w:pPr>
    </w:p>
    <w:p w14:paraId="6C45FBEB" w14:textId="1E300D0B" w:rsidR="00CB18BD" w:rsidRPr="00CB18BD" w:rsidRDefault="00CB18BD" w:rsidP="001A6CD1">
      <w:pPr>
        <w:rPr>
          <w:rFonts w:asciiTheme="majorHAnsi" w:hAnsiTheme="majorHAnsi" w:cstheme="majorHAnsi"/>
          <w:sz w:val="22"/>
          <w:szCs w:val="22"/>
        </w:rPr>
      </w:pPr>
    </w:p>
    <w:p w14:paraId="02505941" w14:textId="77777777" w:rsidR="00CB18BD" w:rsidRDefault="00CB18BD" w:rsidP="001A6CD1">
      <w:pPr>
        <w:rPr>
          <w:rFonts w:asciiTheme="majorHAnsi" w:hAnsiTheme="majorHAnsi" w:cstheme="majorHAnsi"/>
          <w:i/>
          <w:iCs/>
          <w:sz w:val="22"/>
          <w:szCs w:val="22"/>
        </w:rPr>
      </w:pPr>
    </w:p>
    <w:p w14:paraId="63ACA076" w14:textId="08175624"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t>Biological Monitoring Guidance Value (BMGV)</w:t>
      </w:r>
    </w:p>
    <w:p w14:paraId="7A1762EE" w14:textId="77777777" w:rsidR="00CB18BD" w:rsidRPr="00CB18BD" w:rsidRDefault="00CB18BD" w:rsidP="001A6CD1">
      <w:pPr>
        <w:rPr>
          <w:rFonts w:asciiTheme="majorHAnsi" w:hAnsiTheme="majorHAnsi" w:cstheme="majorHAnsi"/>
          <w:b/>
          <w:bCs/>
          <w:sz w:val="22"/>
          <w:szCs w:val="22"/>
        </w:rPr>
      </w:pPr>
    </w:p>
    <w:p w14:paraId="7094AA5A"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15µmol MbOCA/mol creatinine.</w:t>
      </w:r>
    </w:p>
    <w:p w14:paraId="12583695" w14:textId="77777777" w:rsidR="001A6CD1" w:rsidRPr="00CB18BD" w:rsidRDefault="001A6CD1" w:rsidP="001A6CD1">
      <w:pPr>
        <w:rPr>
          <w:rFonts w:asciiTheme="majorHAnsi" w:hAnsiTheme="majorHAnsi" w:cstheme="majorHAnsi"/>
          <w:i/>
          <w:iCs/>
          <w:sz w:val="22"/>
          <w:szCs w:val="22"/>
        </w:rPr>
      </w:pPr>
    </w:p>
    <w:p w14:paraId="5D32BD95" w14:textId="6E3B2E69"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t>Other Guidance Values</w:t>
      </w:r>
    </w:p>
    <w:p w14:paraId="6F705160" w14:textId="77777777" w:rsidR="00CB18BD" w:rsidRPr="00CB18BD" w:rsidRDefault="00CB18BD" w:rsidP="001A6CD1">
      <w:pPr>
        <w:rPr>
          <w:rFonts w:asciiTheme="majorHAnsi" w:hAnsiTheme="majorHAnsi" w:cstheme="majorHAnsi"/>
          <w:b/>
          <w:bCs/>
          <w:sz w:val="22"/>
          <w:szCs w:val="22"/>
        </w:rPr>
      </w:pPr>
    </w:p>
    <w:p w14:paraId="7E9FD398"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None.</w:t>
      </w:r>
    </w:p>
    <w:p w14:paraId="54855F96" w14:textId="77777777" w:rsidR="001A6CD1" w:rsidRPr="00CB18BD" w:rsidRDefault="001A6CD1" w:rsidP="001A6CD1">
      <w:pPr>
        <w:rPr>
          <w:rFonts w:asciiTheme="majorHAnsi" w:hAnsiTheme="majorHAnsi" w:cstheme="majorHAnsi"/>
          <w:i/>
          <w:iCs/>
          <w:sz w:val="22"/>
          <w:szCs w:val="22"/>
        </w:rPr>
      </w:pPr>
    </w:p>
    <w:p w14:paraId="1BB0D097" w14:textId="42EECAFB"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t>Sample Collection</w:t>
      </w:r>
    </w:p>
    <w:p w14:paraId="5DEDE9CE" w14:textId="77777777" w:rsidR="00CB18BD" w:rsidRPr="00CB18BD" w:rsidRDefault="00CB18BD" w:rsidP="001A6CD1">
      <w:pPr>
        <w:rPr>
          <w:rFonts w:asciiTheme="majorHAnsi" w:hAnsiTheme="majorHAnsi" w:cstheme="majorHAnsi"/>
          <w:b/>
          <w:bCs/>
          <w:sz w:val="22"/>
          <w:szCs w:val="22"/>
        </w:rPr>
      </w:pPr>
    </w:p>
    <w:p w14:paraId="693EF530"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Urine samples should be collected at the end of shift into polystyrene universal containers (30mL).</w:t>
      </w:r>
    </w:p>
    <w:p w14:paraId="2F512574"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xml:space="preserve"> </w:t>
      </w:r>
    </w:p>
    <w:p w14:paraId="5716A603" w14:textId="0B2F6FE3"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t>Sample Transport to Laboratory</w:t>
      </w:r>
    </w:p>
    <w:p w14:paraId="35E40818" w14:textId="77777777" w:rsidR="00CB18BD" w:rsidRPr="00CB18BD" w:rsidRDefault="00CB18BD" w:rsidP="001A6CD1">
      <w:pPr>
        <w:rPr>
          <w:rFonts w:asciiTheme="majorHAnsi" w:hAnsiTheme="majorHAnsi" w:cstheme="majorHAnsi"/>
          <w:b/>
          <w:bCs/>
          <w:sz w:val="22"/>
          <w:szCs w:val="22"/>
        </w:rPr>
      </w:pPr>
    </w:p>
    <w:p w14:paraId="526C3106" w14:textId="20BCDE34" w:rsid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08A5426B" w14:textId="77777777" w:rsidR="00CB18BD" w:rsidRPr="00CB18BD" w:rsidRDefault="00CB18BD" w:rsidP="001A6CD1">
      <w:pPr>
        <w:rPr>
          <w:rFonts w:asciiTheme="majorHAnsi" w:hAnsiTheme="majorHAnsi" w:cstheme="majorHAnsi"/>
          <w:sz w:val="22"/>
          <w:szCs w:val="22"/>
        </w:rPr>
      </w:pPr>
    </w:p>
    <w:p w14:paraId="5B08351D" w14:textId="77777777" w:rsidR="001A6CD1" w:rsidRPr="00CB18BD" w:rsidRDefault="001A6CD1" w:rsidP="001A6CD1">
      <w:pPr>
        <w:rPr>
          <w:rFonts w:asciiTheme="majorHAnsi" w:hAnsiTheme="majorHAnsi" w:cstheme="majorHAnsi"/>
          <w:sz w:val="22"/>
          <w:szCs w:val="22"/>
          <w:highlight w:val="yellow"/>
        </w:rPr>
      </w:pPr>
    </w:p>
    <w:p w14:paraId="4D4627B2" w14:textId="77777777" w:rsidR="00CB18BD" w:rsidRDefault="00CB18BD" w:rsidP="001A6CD1">
      <w:pPr>
        <w:rPr>
          <w:rFonts w:asciiTheme="majorHAnsi" w:hAnsiTheme="majorHAnsi" w:cstheme="majorHAnsi"/>
          <w:sz w:val="22"/>
          <w:szCs w:val="22"/>
        </w:rPr>
      </w:pPr>
    </w:p>
    <w:p w14:paraId="64EA91A5" w14:textId="393F5254" w:rsidR="001A6CD1" w:rsidRPr="00CB18BD" w:rsidRDefault="001A6CD1" w:rsidP="001A6CD1">
      <w:pPr>
        <w:rPr>
          <w:rFonts w:asciiTheme="majorHAnsi" w:hAnsiTheme="majorHAnsi" w:cstheme="majorHAnsi"/>
          <w:sz w:val="22"/>
          <w:szCs w:val="22"/>
          <w:highlight w:val="yellow"/>
        </w:rPr>
      </w:pPr>
      <w:r w:rsidRPr="00CB18BD">
        <w:rPr>
          <w:rFonts w:asciiTheme="majorHAnsi" w:hAnsiTheme="majorHAnsi" w:cstheme="majorHAnsi"/>
          <w:noProof/>
          <w:sz w:val="22"/>
          <w:szCs w:val="22"/>
        </w:rPr>
        <mc:AlternateContent>
          <mc:Choice Requires="wps">
            <w:drawing>
              <wp:inline distT="0" distB="0" distL="0" distR="0" wp14:anchorId="733962B8" wp14:editId="41EF5151">
                <wp:extent cx="4972050" cy="2028825"/>
                <wp:effectExtent l="0" t="0" r="1905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2028825"/>
                        </a:xfrm>
                        <a:prstGeom prst="rect">
                          <a:avLst/>
                        </a:prstGeom>
                        <a:solidFill>
                          <a:srgbClr val="FFFFFF"/>
                        </a:solidFill>
                        <a:ln w="9525">
                          <a:solidFill>
                            <a:srgbClr val="000000"/>
                          </a:solidFill>
                          <a:miter lim="800000"/>
                          <a:headEnd/>
                          <a:tailEnd/>
                        </a:ln>
                      </wps:spPr>
                      <wps:txbx>
                        <w:txbxContent>
                          <w:p w14:paraId="3173DD04" w14:textId="5F7CD29A" w:rsidR="001A6CD1"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 xml:space="preserve">Suggested Method and Analytical Evaluation </w:t>
                            </w:r>
                          </w:p>
                          <w:p w14:paraId="52A83C6E" w14:textId="77777777" w:rsidR="00CB18BD" w:rsidRPr="00CB18BD" w:rsidRDefault="00CB18BD" w:rsidP="001A6CD1">
                            <w:pPr>
                              <w:rPr>
                                <w:rFonts w:asciiTheme="majorHAnsi" w:hAnsiTheme="majorHAnsi" w:cstheme="majorHAnsi"/>
                                <w:b/>
                                <w:bCs/>
                                <w:sz w:val="22"/>
                                <w:szCs w:val="22"/>
                              </w:rPr>
                            </w:pPr>
                          </w:p>
                          <w:p w14:paraId="44F2A238" w14:textId="77777777" w:rsidR="001A6CD1" w:rsidRPr="00CB18BD" w:rsidRDefault="001A6CD1" w:rsidP="001A6CD1">
                            <w:pPr>
                              <w:rPr>
                                <w:rFonts w:asciiTheme="majorHAnsi" w:hAnsiTheme="majorHAnsi" w:cstheme="majorHAnsi"/>
                                <w:bCs/>
                                <w:sz w:val="22"/>
                                <w:szCs w:val="22"/>
                              </w:rPr>
                            </w:pPr>
                            <w:r w:rsidRPr="00CB18BD">
                              <w:rPr>
                                <w:rFonts w:asciiTheme="majorHAnsi" w:hAnsiTheme="majorHAnsi" w:cstheme="majorHAnsi"/>
                                <w:bCs/>
                                <w:sz w:val="22"/>
                                <w:szCs w:val="22"/>
                              </w:rPr>
                              <w:t>Analytical technique: Gas chromatography with mass spectrometry detection.</w:t>
                            </w:r>
                          </w:p>
                          <w:p w14:paraId="2B4607ED"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Limit of Quantitation: 5nmol/L (5 x detection limit, approx. 0.5 µmol/mol creatinine)</w:t>
                            </w:r>
                          </w:p>
                          <w:p w14:paraId="38AAD0CF"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Calibration range: Typically 0-140 nmol/L</w:t>
                            </w:r>
                          </w:p>
                          <w:p w14:paraId="0C197A81"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Precision:</w:t>
                            </w:r>
                          </w:p>
                          <w:p w14:paraId="487D7085"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within day &lt;7%  RSD at 150µmol/L</w:t>
                            </w:r>
                          </w:p>
                          <w:p w14:paraId="0F526700"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day to day &lt;10%  RSD at 150µmol/L</w:t>
                            </w:r>
                          </w:p>
                          <w:p w14:paraId="674625D1"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Sample stability: 2 days at ambient temperature, &gt;3 months at -20°C</w:t>
                            </w:r>
                          </w:p>
                          <w:p w14:paraId="0925B352"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xml:space="preserve">Analytical Interferences: None known </w:t>
                            </w:r>
                          </w:p>
                          <w:p w14:paraId="065D15F4"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Quality assurance: G-EQUAS (www.g-equas.de).</w:t>
                            </w:r>
                          </w:p>
                        </w:txbxContent>
                      </wps:txbx>
                      <wps:bodyPr rot="0" vert="horz" wrap="square" lIns="91440" tIns="45720" rIns="91440" bIns="45720" anchor="t" anchorCtr="0" upright="1">
                        <a:noAutofit/>
                      </wps:bodyPr>
                    </wps:wsp>
                  </a:graphicData>
                </a:graphic>
              </wp:inline>
            </w:drawing>
          </mc:Choice>
          <mc:Fallback>
            <w:pict>
              <v:shape w14:anchorId="733962B8" id="Text Box 1" o:spid="_x0000_s1028" type="#_x0000_t202" style="width:391.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">
                <v:textbox>
                  <w:txbxContent>
                    <w:p w14:paraId="3173DD04" w14:textId="5F7CD29A" w:rsidR="001A6CD1"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 xml:space="preserve">Suggested Method and Analytical Evaluation </w:t>
                      </w:r>
                    </w:p>
                    <w:p w14:paraId="52A83C6E" w14:textId="77777777" w:rsidR="00CB18BD" w:rsidRPr="00CB18BD" w:rsidRDefault="00CB18BD" w:rsidP="001A6CD1">
                      <w:pPr>
                        <w:rPr>
                          <w:rFonts w:asciiTheme="majorHAnsi" w:hAnsiTheme="majorHAnsi" w:cstheme="majorHAnsi"/>
                          <w:b/>
                          <w:bCs/>
                          <w:sz w:val="22"/>
                          <w:szCs w:val="22"/>
                        </w:rPr>
                      </w:pPr>
                    </w:p>
                    <w:p w14:paraId="44F2A238" w14:textId="77777777" w:rsidR="001A6CD1" w:rsidRPr="00CB18BD" w:rsidRDefault="001A6CD1" w:rsidP="001A6CD1">
                      <w:pPr>
                        <w:rPr>
                          <w:rFonts w:asciiTheme="majorHAnsi" w:hAnsiTheme="majorHAnsi" w:cstheme="majorHAnsi"/>
                          <w:bCs/>
                          <w:sz w:val="22"/>
                          <w:szCs w:val="22"/>
                        </w:rPr>
                      </w:pPr>
                      <w:r w:rsidRPr="00CB18BD">
                        <w:rPr>
                          <w:rFonts w:asciiTheme="majorHAnsi" w:hAnsiTheme="majorHAnsi" w:cstheme="majorHAnsi"/>
                          <w:bCs/>
                          <w:sz w:val="22"/>
                          <w:szCs w:val="22"/>
                        </w:rPr>
                        <w:t>Analytical technique: Gas chromatography with mass spectrometry detection.</w:t>
                      </w:r>
                    </w:p>
                    <w:p w14:paraId="2B4607ED"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Limit of Quantitation: 5nmol/L (5 x detection limit, approx. 0.5 µmol/mol creatinine)</w:t>
                      </w:r>
                    </w:p>
                    <w:p w14:paraId="38AAD0CF"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Calibration range: Typically 0-140 nmol/L</w:t>
                      </w:r>
                    </w:p>
                    <w:p w14:paraId="0C197A81"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Precision:</w:t>
                      </w:r>
                    </w:p>
                    <w:p w14:paraId="487D7085"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within day &lt;7%  RSD at 150µmol/L</w:t>
                      </w:r>
                    </w:p>
                    <w:p w14:paraId="0F526700"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day to day &lt;10%  RSD at 150µmol/L</w:t>
                      </w:r>
                    </w:p>
                    <w:p w14:paraId="674625D1"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Sample stability: 2 days at ambient temperature, &gt;3 months at -20°C</w:t>
                      </w:r>
                    </w:p>
                    <w:p w14:paraId="0925B352"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xml:space="preserve">Analytical Interferences: None known </w:t>
                      </w:r>
                    </w:p>
                    <w:p w14:paraId="065D15F4"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Quality assurance: G-EQUAS (www.g-equas.de).</w:t>
                      </w:r>
                    </w:p>
                  </w:txbxContent>
                </v:textbox>
                <w10:anchorlock/>
              </v:shape>
            </w:pict>
          </mc:Fallback>
        </mc:AlternateContent>
      </w:r>
    </w:p>
    <w:p w14:paraId="15E2474D" w14:textId="77777777" w:rsidR="001A6CD1" w:rsidRPr="00CB18BD" w:rsidRDefault="001A6CD1" w:rsidP="001A6CD1">
      <w:pPr>
        <w:rPr>
          <w:rFonts w:asciiTheme="majorHAnsi" w:hAnsiTheme="majorHAnsi" w:cstheme="majorHAnsi"/>
          <w:sz w:val="22"/>
          <w:szCs w:val="22"/>
        </w:rPr>
      </w:pPr>
    </w:p>
    <w:p w14:paraId="45730E65" w14:textId="671BBB09"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t>When to take a sample</w:t>
      </w:r>
    </w:p>
    <w:p w14:paraId="2DE34481" w14:textId="77777777" w:rsidR="00CB18BD" w:rsidRPr="00CB18BD" w:rsidRDefault="00CB18BD" w:rsidP="001A6CD1">
      <w:pPr>
        <w:rPr>
          <w:rFonts w:asciiTheme="majorHAnsi" w:hAnsiTheme="majorHAnsi" w:cstheme="majorHAnsi"/>
          <w:b/>
          <w:bCs/>
          <w:sz w:val="22"/>
          <w:szCs w:val="22"/>
        </w:rPr>
      </w:pPr>
    </w:p>
    <w:p w14:paraId="69FC0125"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03C4DB16"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For MbOCA, a study showed a peak of urinary excretion 4 hours after exposure, and the elimination rate in urine has an approximate half-life of 24 hours, so urine samples should be collected towards the end of the shift.</w:t>
      </w:r>
    </w:p>
    <w:p w14:paraId="32158B06" w14:textId="77777777" w:rsidR="001A6CD1" w:rsidRPr="00CB18BD" w:rsidRDefault="001A6CD1" w:rsidP="001A6CD1">
      <w:pPr>
        <w:rPr>
          <w:rFonts w:asciiTheme="majorHAnsi" w:hAnsiTheme="majorHAnsi" w:cstheme="majorHAnsi"/>
          <w:sz w:val="22"/>
          <w:szCs w:val="22"/>
        </w:rPr>
      </w:pPr>
    </w:p>
    <w:p w14:paraId="7F832936" w14:textId="02C7C27D" w:rsidR="001A6CD1"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Other Information</w:t>
      </w:r>
    </w:p>
    <w:p w14:paraId="447CDCAC" w14:textId="77777777" w:rsidR="00CB18BD" w:rsidRPr="00CB18BD" w:rsidRDefault="00CB18BD" w:rsidP="001A6CD1">
      <w:pPr>
        <w:rPr>
          <w:rFonts w:asciiTheme="majorHAnsi" w:hAnsiTheme="majorHAnsi" w:cstheme="majorHAnsi"/>
          <w:b/>
          <w:bCs/>
          <w:sz w:val="22"/>
          <w:szCs w:val="22"/>
        </w:rPr>
      </w:pPr>
    </w:p>
    <w:p w14:paraId="65D0FA1F" w14:textId="48B7D7A8"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t>Confounding factors: e.g. sources of contamination; other exposure sources</w:t>
      </w:r>
    </w:p>
    <w:p w14:paraId="4FD92385" w14:textId="77777777" w:rsidR="00CB18BD" w:rsidRPr="00CB18BD" w:rsidRDefault="00CB18BD" w:rsidP="001A6CD1">
      <w:pPr>
        <w:rPr>
          <w:rFonts w:asciiTheme="majorHAnsi" w:hAnsiTheme="majorHAnsi" w:cstheme="majorHAnsi"/>
          <w:b/>
          <w:bCs/>
          <w:sz w:val="22"/>
          <w:szCs w:val="22"/>
        </w:rPr>
      </w:pPr>
    </w:p>
    <w:p w14:paraId="1D185AB2"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None known.</w:t>
      </w:r>
    </w:p>
    <w:p w14:paraId="4A5C1390" w14:textId="77777777" w:rsidR="001A6CD1" w:rsidRPr="00CB18BD" w:rsidRDefault="001A6CD1" w:rsidP="001A6CD1">
      <w:pPr>
        <w:rPr>
          <w:rFonts w:asciiTheme="majorHAnsi" w:hAnsiTheme="majorHAnsi" w:cstheme="majorHAnsi"/>
          <w:sz w:val="22"/>
          <w:szCs w:val="22"/>
        </w:rPr>
      </w:pPr>
    </w:p>
    <w:p w14:paraId="49675E4B" w14:textId="583476D6"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t>Unexposed level</w:t>
      </w:r>
    </w:p>
    <w:p w14:paraId="6FBFE18E" w14:textId="77777777" w:rsidR="00CB18BD" w:rsidRPr="00CB18BD" w:rsidRDefault="00CB18BD" w:rsidP="001A6CD1">
      <w:pPr>
        <w:rPr>
          <w:rFonts w:asciiTheme="majorHAnsi" w:hAnsiTheme="majorHAnsi" w:cstheme="majorHAnsi"/>
          <w:b/>
          <w:bCs/>
          <w:sz w:val="22"/>
          <w:szCs w:val="22"/>
        </w:rPr>
      </w:pPr>
    </w:p>
    <w:p w14:paraId="1D993B11"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None detected.</w:t>
      </w:r>
    </w:p>
    <w:p w14:paraId="1A7BAA29" w14:textId="77777777" w:rsidR="001A6CD1" w:rsidRPr="00CB18BD" w:rsidRDefault="001A6CD1" w:rsidP="001A6CD1">
      <w:pPr>
        <w:rPr>
          <w:rFonts w:asciiTheme="majorHAnsi" w:hAnsiTheme="majorHAnsi" w:cstheme="majorHAnsi"/>
          <w:sz w:val="22"/>
          <w:szCs w:val="22"/>
        </w:rPr>
      </w:pPr>
    </w:p>
    <w:p w14:paraId="153B961A" w14:textId="77777777" w:rsidR="001A6CD1" w:rsidRPr="00CB18BD" w:rsidRDefault="001A6CD1" w:rsidP="001A6CD1">
      <w:pPr>
        <w:rPr>
          <w:rFonts w:asciiTheme="majorHAnsi" w:hAnsiTheme="majorHAnsi" w:cstheme="majorHAnsi"/>
          <w:b/>
          <w:bCs/>
          <w:sz w:val="22"/>
          <w:szCs w:val="22"/>
        </w:rPr>
      </w:pPr>
      <w:r w:rsidRPr="00CB18BD">
        <w:rPr>
          <w:rFonts w:asciiTheme="majorHAnsi" w:hAnsiTheme="majorHAnsi" w:cstheme="majorHAnsi"/>
          <w:b/>
          <w:bCs/>
          <w:sz w:val="22"/>
          <w:szCs w:val="22"/>
        </w:rPr>
        <w:t xml:space="preserve">Creatinine correction is advised. </w:t>
      </w:r>
    </w:p>
    <w:p w14:paraId="29FA278F" w14:textId="77777777" w:rsidR="001A6CD1" w:rsidRPr="00CB18BD" w:rsidRDefault="001A6CD1" w:rsidP="001A6CD1">
      <w:pPr>
        <w:rPr>
          <w:rFonts w:asciiTheme="majorHAnsi" w:hAnsiTheme="majorHAnsi" w:cstheme="majorHAnsi"/>
          <w:b/>
          <w:bCs/>
          <w:sz w:val="22"/>
          <w:szCs w:val="22"/>
        </w:rPr>
      </w:pPr>
    </w:p>
    <w:p w14:paraId="7CCC50B1" w14:textId="052A9339"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t xml:space="preserve">Interpretation </w:t>
      </w:r>
    </w:p>
    <w:p w14:paraId="4D5EA8EE" w14:textId="77777777" w:rsidR="00CB18BD" w:rsidRPr="00CB18BD" w:rsidRDefault="00CB18BD" w:rsidP="001A6CD1">
      <w:pPr>
        <w:rPr>
          <w:rFonts w:asciiTheme="majorHAnsi" w:hAnsiTheme="majorHAnsi" w:cstheme="majorHAnsi"/>
          <w:b/>
          <w:bCs/>
          <w:sz w:val="22"/>
          <w:szCs w:val="22"/>
        </w:rPr>
      </w:pPr>
    </w:p>
    <w:p w14:paraId="45409BE6"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Urinary MbOCA results reflect systematic exposure to MbOCA that may have entered the body by inhalation or, more likely, through the skin. If biological monitoring results are greater than the guidance value, it does not necessarily mean that ill health will occur, but it does mean that exposure is not being adequately controlled.  An elevated result should be re-tested as soon as possible to help establish whether it represents ongoing workplace exposure or a ‘one-off’ event. If necessary, employers will need to look at current work practices to see how they can be improved to reduce exposure.</w:t>
      </w:r>
    </w:p>
    <w:p w14:paraId="5AA99B4C" w14:textId="46F1A7F6" w:rsidR="001A6CD1" w:rsidRDefault="001A6CD1" w:rsidP="001A6CD1">
      <w:pPr>
        <w:rPr>
          <w:rFonts w:asciiTheme="majorHAnsi" w:hAnsiTheme="majorHAnsi" w:cstheme="majorHAnsi"/>
          <w:sz w:val="22"/>
          <w:szCs w:val="22"/>
        </w:rPr>
      </w:pPr>
    </w:p>
    <w:p w14:paraId="3FC55ED6" w14:textId="77777777" w:rsidR="00CB18BD" w:rsidRPr="00CB18BD" w:rsidRDefault="00CB18BD" w:rsidP="001A6CD1">
      <w:pPr>
        <w:rPr>
          <w:rFonts w:asciiTheme="majorHAnsi" w:hAnsiTheme="majorHAnsi" w:cstheme="majorHAnsi"/>
          <w:sz w:val="22"/>
          <w:szCs w:val="22"/>
        </w:rPr>
      </w:pPr>
    </w:p>
    <w:p w14:paraId="37B79D29" w14:textId="43838748" w:rsidR="001A6CD1" w:rsidRPr="00CB18BD" w:rsidRDefault="001A6CD1" w:rsidP="001A6CD1">
      <w:pPr>
        <w:rPr>
          <w:rFonts w:asciiTheme="majorHAnsi" w:hAnsiTheme="majorHAnsi" w:cstheme="majorHAnsi"/>
          <w:b/>
          <w:bCs/>
          <w:i/>
          <w:iCs/>
          <w:sz w:val="22"/>
          <w:szCs w:val="22"/>
        </w:rPr>
      </w:pPr>
      <w:r w:rsidRPr="00CB18BD">
        <w:rPr>
          <w:rFonts w:asciiTheme="majorHAnsi" w:hAnsiTheme="majorHAnsi" w:cstheme="majorHAnsi"/>
          <w:b/>
          <w:bCs/>
          <w:i/>
          <w:iCs/>
          <w:sz w:val="22"/>
          <w:szCs w:val="22"/>
        </w:rPr>
        <w:lastRenderedPageBreak/>
        <w:t>Further information</w:t>
      </w:r>
    </w:p>
    <w:p w14:paraId="27E9A050" w14:textId="77777777" w:rsidR="00CB18BD" w:rsidRPr="00CB18BD" w:rsidRDefault="00CB18BD" w:rsidP="001A6CD1">
      <w:pPr>
        <w:rPr>
          <w:rFonts w:asciiTheme="majorHAnsi" w:hAnsiTheme="majorHAnsi" w:cstheme="majorHAnsi"/>
          <w:b/>
          <w:bCs/>
          <w:sz w:val="22"/>
          <w:szCs w:val="22"/>
        </w:rPr>
      </w:pPr>
    </w:p>
    <w:p w14:paraId="1A14EC9D" w14:textId="77777777" w:rsidR="001A6CD1" w:rsidRPr="00CB18BD" w:rsidRDefault="001A6CD1" w:rsidP="001A6CD1">
      <w:pPr>
        <w:rPr>
          <w:rStyle w:val="Hyperlink"/>
          <w:rFonts w:asciiTheme="majorHAnsi" w:hAnsiTheme="majorHAnsi" w:cstheme="majorHAnsi"/>
          <w:sz w:val="22"/>
          <w:szCs w:val="22"/>
        </w:rPr>
      </w:pPr>
      <w:r w:rsidRPr="00CB18BD">
        <w:rPr>
          <w:rFonts w:asciiTheme="majorHAnsi" w:hAnsiTheme="majorHAnsi" w:cstheme="majorHAnsi"/>
          <w:sz w:val="22"/>
          <w:szCs w:val="22"/>
        </w:rPr>
        <w:t xml:space="preserve">EH40 List of Approved Workplace Exposure Limits </w:t>
      </w:r>
      <w:hyperlink r:id="rId7" w:history="1">
        <w:r w:rsidRPr="00CB18BD">
          <w:rPr>
            <w:rStyle w:val="Hyperlink"/>
            <w:rFonts w:asciiTheme="majorHAnsi" w:hAnsiTheme="majorHAnsi" w:cstheme="majorHAnsi"/>
            <w:sz w:val="22"/>
            <w:szCs w:val="22"/>
          </w:rPr>
          <w:t>http://www.hse.gov.uk/pubns/books/eh40.htm</w:t>
        </w:r>
      </w:hyperlink>
    </w:p>
    <w:p w14:paraId="2FC5F7C9" w14:textId="77777777" w:rsidR="001A6CD1" w:rsidRPr="00CB18BD" w:rsidRDefault="001A6CD1" w:rsidP="001A6CD1">
      <w:pPr>
        <w:rPr>
          <w:rFonts w:asciiTheme="majorHAnsi" w:hAnsiTheme="majorHAnsi" w:cstheme="majorHAnsi"/>
          <w:sz w:val="22"/>
          <w:szCs w:val="22"/>
        </w:rPr>
      </w:pPr>
      <w:r w:rsidRPr="00CB18BD">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CB18BD">
          <w:rPr>
            <w:rStyle w:val="Hyperlink"/>
            <w:rFonts w:asciiTheme="majorHAnsi" w:hAnsiTheme="majorHAnsi" w:cstheme="majorHAnsi"/>
            <w:sz w:val="22"/>
            <w:szCs w:val="22"/>
          </w:rPr>
          <w:t>BOHS-Biological-Monitoring-A-tool-for-helping-to-assess-workplace-exposure-rebranded.pdf</w:t>
        </w:r>
      </w:hyperlink>
    </w:p>
    <w:p w14:paraId="58BFAF10" w14:textId="77777777" w:rsidR="001A6CD1" w:rsidRPr="00CB18BD" w:rsidRDefault="001A6CD1" w:rsidP="001A6CD1">
      <w:pPr>
        <w:autoSpaceDE w:val="0"/>
        <w:autoSpaceDN w:val="0"/>
        <w:adjustRightInd w:val="0"/>
        <w:rPr>
          <w:rFonts w:asciiTheme="majorHAnsi" w:eastAsia="HelveticaNeueLTStd-Cn" w:hAnsiTheme="majorHAnsi" w:cstheme="majorHAnsi"/>
          <w:sz w:val="22"/>
          <w:szCs w:val="22"/>
        </w:rPr>
      </w:pPr>
    </w:p>
    <w:p w14:paraId="4CABD8DF" w14:textId="77777777" w:rsidR="001A6CD1" w:rsidRPr="00CB18BD" w:rsidRDefault="001A6CD1" w:rsidP="001A6CD1">
      <w:pPr>
        <w:autoSpaceDE w:val="0"/>
        <w:autoSpaceDN w:val="0"/>
        <w:adjustRightInd w:val="0"/>
        <w:rPr>
          <w:rFonts w:asciiTheme="majorHAnsi" w:eastAsia="HelveticaNeueLTStd-Cn" w:hAnsiTheme="majorHAnsi" w:cstheme="majorHAnsi"/>
          <w:sz w:val="22"/>
          <w:szCs w:val="22"/>
        </w:rPr>
      </w:pPr>
      <w:r w:rsidRPr="00CB18BD">
        <w:rPr>
          <w:rFonts w:asciiTheme="majorHAnsi" w:eastAsia="HelveticaNeueLTStd-Cn" w:hAnsiTheme="majorHAnsi" w:cstheme="majorHAnsi"/>
          <w:sz w:val="22"/>
          <w:szCs w:val="22"/>
        </w:rPr>
        <w:t>Cocker, J., Nutley, B.P. and Wilson, H.K., 1996. Methylene bis (2-chloroaniline)(MbOCA): towards a</w:t>
      </w:r>
    </w:p>
    <w:p w14:paraId="77ABB79A" w14:textId="77777777" w:rsidR="001A6CD1" w:rsidRPr="00CB18BD" w:rsidRDefault="001A6CD1" w:rsidP="001A6CD1">
      <w:pPr>
        <w:rPr>
          <w:rFonts w:asciiTheme="majorHAnsi" w:eastAsiaTheme="minorHAnsi" w:hAnsiTheme="majorHAnsi" w:cstheme="majorHAnsi"/>
          <w:b/>
          <w:bCs/>
          <w:sz w:val="22"/>
          <w:szCs w:val="22"/>
        </w:rPr>
      </w:pPr>
      <w:r w:rsidRPr="00CB18BD">
        <w:rPr>
          <w:rFonts w:asciiTheme="majorHAnsi" w:eastAsia="HelveticaNeueLTStd-Cn" w:hAnsiTheme="majorHAnsi" w:cstheme="majorHAnsi"/>
          <w:sz w:val="22"/>
          <w:szCs w:val="22"/>
        </w:rPr>
        <w:t xml:space="preserve">biological monitoring guidance </w:t>
      </w:r>
      <w:proofErr w:type="spellStart"/>
      <w:r w:rsidRPr="00CB18BD">
        <w:rPr>
          <w:rFonts w:asciiTheme="majorHAnsi" w:eastAsia="HelveticaNeueLTStd-Cn" w:hAnsiTheme="majorHAnsi" w:cstheme="majorHAnsi"/>
          <w:sz w:val="22"/>
          <w:szCs w:val="22"/>
        </w:rPr>
        <w:t>value.Biomarkers</w:t>
      </w:r>
      <w:proofErr w:type="spellEnd"/>
      <w:r w:rsidRPr="00CB18BD">
        <w:rPr>
          <w:rFonts w:asciiTheme="majorHAnsi" w:eastAsia="HelveticaNeueLTStd-Cn" w:hAnsiTheme="majorHAnsi" w:cstheme="majorHAnsi"/>
          <w:sz w:val="22"/>
          <w:szCs w:val="22"/>
        </w:rPr>
        <w:t>, 1(3), pp.185-189.</w:t>
      </w:r>
    </w:p>
    <w:p w14:paraId="11AF91EC" w14:textId="6142096E" w:rsidR="001A6CD1" w:rsidRPr="00CB18BD" w:rsidRDefault="00CB18BD" w:rsidP="001A6CD1">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2336" behindDoc="0" locked="0" layoutInCell="1" allowOverlap="1" wp14:anchorId="1B525663" wp14:editId="3D70A31E">
                <wp:simplePos x="0" y="0"/>
                <wp:positionH relativeFrom="margin">
                  <wp:align>right</wp:align>
                </wp:positionH>
                <wp:positionV relativeFrom="paragraph">
                  <wp:posOffset>217805</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7A293D27" w14:textId="77777777" w:rsidR="00CB18BD" w:rsidRDefault="00CB18BD" w:rsidP="00CB18BD">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1B1BF396" w14:textId="77777777" w:rsidR="00CB18BD" w:rsidRPr="0093432D" w:rsidRDefault="00CB18BD" w:rsidP="00CB18BD">
                            <w:pPr>
                              <w:rPr>
                                <w:rFonts w:asciiTheme="majorHAnsi" w:hAnsiTheme="majorHAnsi" w:cstheme="majorHAnsi"/>
                                <w:sz w:val="22"/>
                                <w:szCs w:val="22"/>
                              </w:rPr>
                            </w:pPr>
                          </w:p>
                          <w:p w14:paraId="1A5C830F" w14:textId="77777777" w:rsidR="00CB18BD" w:rsidRPr="0093432D" w:rsidRDefault="00CB18BD" w:rsidP="00CB18BD">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6A1C8773" w14:textId="77777777" w:rsidR="00CB18BD" w:rsidRPr="0093432D" w:rsidRDefault="00CB18BD" w:rsidP="00CB18BD">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63853F09" w14:textId="77777777" w:rsidR="00CB18BD" w:rsidRPr="0093432D" w:rsidRDefault="00CB18BD" w:rsidP="00CB18BD">
                            <w:pPr>
                              <w:rPr>
                                <w:rFonts w:asciiTheme="majorHAnsi" w:hAnsiTheme="majorHAnsi" w:cstheme="majorHAnsi"/>
                                <w:sz w:val="22"/>
                                <w:szCs w:val="22"/>
                              </w:rPr>
                            </w:pPr>
                            <w:r w:rsidRPr="0093432D">
                              <w:rPr>
                                <w:rFonts w:asciiTheme="majorHAnsi" w:hAnsiTheme="majorHAnsi" w:cstheme="majorHAnsi"/>
                                <w:sz w:val="22"/>
                                <w:szCs w:val="22"/>
                              </w:rPr>
                              <w:t>0203 028 3383</w:t>
                            </w:r>
                          </w:p>
                          <w:p w14:paraId="09D02A91" w14:textId="77777777" w:rsidR="00CB18BD" w:rsidRPr="0093432D" w:rsidRDefault="00CB18BD" w:rsidP="00CB18BD">
                            <w:pPr>
                              <w:rPr>
                                <w:rFonts w:asciiTheme="majorHAnsi" w:hAnsiTheme="majorHAnsi" w:cstheme="majorHAnsi"/>
                                <w:sz w:val="22"/>
                                <w:szCs w:val="22"/>
                              </w:rPr>
                            </w:pPr>
                          </w:p>
                          <w:p w14:paraId="11FDBE8A" w14:textId="77777777" w:rsidR="00CB18BD" w:rsidRPr="0093432D" w:rsidRDefault="00CB18BD" w:rsidP="00CB18BD">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4E838102" w14:textId="77777777" w:rsidR="00CB18BD" w:rsidRPr="0093432D" w:rsidRDefault="00CB18BD" w:rsidP="00CB18BD">
                            <w:pPr>
                              <w:rPr>
                                <w:rFonts w:asciiTheme="majorHAnsi" w:hAnsiTheme="majorHAnsi" w:cstheme="majorHAnsi"/>
                                <w:b/>
                                <w:bCs/>
                                <w:sz w:val="22"/>
                                <w:szCs w:val="22"/>
                              </w:rPr>
                            </w:pPr>
                          </w:p>
                          <w:p w14:paraId="25F91181" w14:textId="77777777" w:rsidR="00CB18BD" w:rsidRPr="0093432D" w:rsidRDefault="00CB18BD" w:rsidP="00CB18BD">
                            <w:pPr>
                              <w:rPr>
                                <w:rFonts w:asciiTheme="majorHAnsi" w:hAnsiTheme="majorHAnsi" w:cstheme="majorHAnsi"/>
                                <w:sz w:val="22"/>
                                <w:szCs w:val="22"/>
                              </w:rPr>
                            </w:pPr>
                            <w:hyperlink r:id="rId9"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25663" id="_x0000_s1029" type="#_x0000_t202" style="position:absolute;margin-left:398.8pt;margin-top:17.15pt;width:450pt;height:13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">
                <v:textbox>
                  <w:txbxContent>
                    <w:p w14:paraId="7A293D27" w14:textId="77777777" w:rsidR="00CB18BD" w:rsidRDefault="00CB18BD" w:rsidP="00CB18BD">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1B1BF396" w14:textId="77777777" w:rsidR="00CB18BD" w:rsidRPr="0093432D" w:rsidRDefault="00CB18BD" w:rsidP="00CB18BD">
                      <w:pPr>
                        <w:rPr>
                          <w:rFonts w:asciiTheme="majorHAnsi" w:hAnsiTheme="majorHAnsi" w:cstheme="majorHAnsi"/>
                          <w:sz w:val="22"/>
                          <w:szCs w:val="22"/>
                        </w:rPr>
                      </w:pPr>
                    </w:p>
                    <w:p w14:paraId="1A5C830F" w14:textId="77777777" w:rsidR="00CB18BD" w:rsidRPr="0093432D" w:rsidRDefault="00CB18BD" w:rsidP="00CB18BD">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6A1C8773" w14:textId="77777777" w:rsidR="00CB18BD" w:rsidRPr="0093432D" w:rsidRDefault="00CB18BD" w:rsidP="00CB18BD">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63853F09" w14:textId="77777777" w:rsidR="00CB18BD" w:rsidRPr="0093432D" w:rsidRDefault="00CB18BD" w:rsidP="00CB18BD">
                      <w:pPr>
                        <w:rPr>
                          <w:rFonts w:asciiTheme="majorHAnsi" w:hAnsiTheme="majorHAnsi" w:cstheme="majorHAnsi"/>
                          <w:sz w:val="22"/>
                          <w:szCs w:val="22"/>
                        </w:rPr>
                      </w:pPr>
                      <w:r w:rsidRPr="0093432D">
                        <w:rPr>
                          <w:rFonts w:asciiTheme="majorHAnsi" w:hAnsiTheme="majorHAnsi" w:cstheme="majorHAnsi"/>
                          <w:sz w:val="22"/>
                          <w:szCs w:val="22"/>
                        </w:rPr>
                        <w:t>0203 028 3383</w:t>
                      </w:r>
                    </w:p>
                    <w:p w14:paraId="09D02A91" w14:textId="77777777" w:rsidR="00CB18BD" w:rsidRPr="0093432D" w:rsidRDefault="00CB18BD" w:rsidP="00CB18BD">
                      <w:pPr>
                        <w:rPr>
                          <w:rFonts w:asciiTheme="majorHAnsi" w:hAnsiTheme="majorHAnsi" w:cstheme="majorHAnsi"/>
                          <w:sz w:val="22"/>
                          <w:szCs w:val="22"/>
                        </w:rPr>
                      </w:pPr>
                    </w:p>
                    <w:p w14:paraId="11FDBE8A" w14:textId="77777777" w:rsidR="00CB18BD" w:rsidRPr="0093432D" w:rsidRDefault="00CB18BD" w:rsidP="00CB18BD">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4E838102" w14:textId="77777777" w:rsidR="00CB18BD" w:rsidRPr="0093432D" w:rsidRDefault="00CB18BD" w:rsidP="00CB18BD">
                      <w:pPr>
                        <w:rPr>
                          <w:rFonts w:asciiTheme="majorHAnsi" w:hAnsiTheme="majorHAnsi" w:cstheme="majorHAnsi"/>
                          <w:b/>
                          <w:bCs/>
                          <w:sz w:val="22"/>
                          <w:szCs w:val="22"/>
                        </w:rPr>
                      </w:pPr>
                    </w:p>
                    <w:p w14:paraId="25F91181" w14:textId="77777777" w:rsidR="00CB18BD" w:rsidRPr="0093432D" w:rsidRDefault="00CB18BD" w:rsidP="00CB18BD">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177DD1B2" w14:textId="1BBDF3E3" w:rsidR="001A6CD1" w:rsidRPr="00CB18BD" w:rsidRDefault="001A6CD1" w:rsidP="001A6CD1">
      <w:pPr>
        <w:rPr>
          <w:rFonts w:asciiTheme="majorHAnsi" w:hAnsiTheme="majorHAnsi" w:cstheme="majorHAnsi"/>
          <w:sz w:val="22"/>
          <w:szCs w:val="22"/>
        </w:rPr>
      </w:pPr>
    </w:p>
    <w:p w14:paraId="6CE9991A" w14:textId="77777777" w:rsidR="001A6CD1" w:rsidRPr="009E2D03" w:rsidRDefault="001A6CD1" w:rsidP="009E2D03">
      <w:pPr>
        <w:pStyle w:val="Footer"/>
        <w:jc w:val="center"/>
        <w:rPr>
          <w:rFonts w:asciiTheme="majorHAnsi" w:hAnsiTheme="majorHAnsi" w:cstheme="majorHAnsi"/>
          <w:b/>
          <w:bCs/>
          <w:color w:val="990033"/>
          <w:sz w:val="32"/>
          <w:szCs w:val="32"/>
          <w:u w:val="single"/>
        </w:rPr>
      </w:pPr>
    </w:p>
    <w:sectPr w:rsidR="001A6CD1"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1A6CD1"/>
    <w:rsid w:val="00264522"/>
    <w:rsid w:val="003A41BE"/>
    <w:rsid w:val="0040537F"/>
    <w:rsid w:val="00584465"/>
    <w:rsid w:val="00647712"/>
    <w:rsid w:val="007536AD"/>
    <w:rsid w:val="00804D3E"/>
    <w:rsid w:val="008566DB"/>
    <w:rsid w:val="0093432D"/>
    <w:rsid w:val="009D662C"/>
    <w:rsid w:val="009E2D03"/>
    <w:rsid w:val="00A03926"/>
    <w:rsid w:val="00A23A85"/>
    <w:rsid w:val="00B551A1"/>
    <w:rsid w:val="00C846D1"/>
    <w:rsid w:val="00C94AF7"/>
    <w:rsid w:val="00CB18BD"/>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2022-07-07T15:00:00Z</dcterms:created>
  <dcterms:modified xsi:type="dcterms:W3CDTF">2022-07-29T11:06:00Z</dcterms:modified>
</cp:coreProperties>
</file>